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359" w:lineRule="exact"/>
        <w:rPr>
          <w:rFonts w:ascii="宋体" w:hAnsi="宋体" w:cs="宋体"/>
          <w:color w:val="000000"/>
          <w:sz w:val="36"/>
          <w:szCs w:val="36"/>
          <w:lang w:eastAsia="zh-CN"/>
        </w:rPr>
      </w:pPr>
    </w:p>
    <w:p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>
      <w:pPr>
        <w:spacing w:before="167" w:line="359" w:lineRule="exact"/>
        <w:ind w:firstLine="720" w:firstLineChars="200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r>
        <w:rPr>
          <w:rFonts w:ascii="宋体" w:hAnsi="宋体" w:cs="宋体"/>
          <w:color w:val="000000"/>
          <w:sz w:val="36"/>
          <w:szCs w:val="36"/>
          <w:lang w:eastAsia="zh-CN"/>
        </w:rPr>
        <w:t>附件：泰州市人民医院</w:t>
      </w:r>
      <w:r>
        <w:rPr>
          <w:rFonts w:hint="eastAsia" w:ascii="宋体" w:hAnsi="宋体" w:cs="宋体"/>
          <w:color w:val="000000"/>
          <w:sz w:val="36"/>
          <w:szCs w:val="36"/>
          <w:lang w:eastAsia="zh-CN"/>
        </w:rPr>
        <w:t>药品</w:t>
      </w:r>
      <w:r>
        <w:rPr>
          <w:rFonts w:ascii="宋体" w:hAnsi="宋体" w:cs="宋体"/>
          <w:color w:val="000000"/>
          <w:sz w:val="36"/>
          <w:szCs w:val="36"/>
          <w:lang w:eastAsia="zh-CN"/>
        </w:rPr>
        <w:t>咨询目录</w:t>
      </w:r>
      <w:r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(官网发布)</w:t>
      </w:r>
    </w:p>
    <w:p>
      <w:pPr>
        <w:spacing w:before="167" w:line="359" w:lineRule="exact"/>
        <w:ind w:left="2173"/>
        <w:rPr>
          <w:rFonts w:ascii="Times New Roman" w:hAnsi="Times New Roman" w:cs="Times New Roman"/>
          <w:sz w:val="36"/>
          <w:szCs w:val="36"/>
          <w:lang w:eastAsia="zh-CN"/>
        </w:rPr>
      </w:pPr>
    </w:p>
    <w:p>
      <w:pPr>
        <w:spacing w:before="167" w:line="359" w:lineRule="exact"/>
        <w:ind w:left="2173" w:firstLine="1100" w:firstLineChars="500"/>
        <w:rPr>
          <w:rFonts w:ascii="Times New Roman" w:hAnsi="Times New Roman" w:cs="Times New Roman"/>
          <w:color w:val="010302"/>
          <w:lang w:eastAsia="zh-CN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9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620"/>
        <w:gridCol w:w="1180"/>
        <w:gridCol w:w="3275"/>
        <w:gridCol w:w="3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药品通用名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剂型</w:t>
            </w:r>
          </w:p>
        </w:tc>
        <w:tc>
          <w:tcPr>
            <w:tcW w:w="3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药用炭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片剂或胶囊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0.3g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注射用硫代硫酸钠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注射剂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0.64g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藿香正气软胶囊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软胶囊</w:t>
            </w:r>
          </w:p>
        </w:tc>
        <w:tc>
          <w:tcPr>
            <w:tcW w:w="3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0.45*30粒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高锰酸钾片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片剂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注射剂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A型肉毒毒素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注射剂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100U和50U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维血宁合剂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剂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特殊医学用途蛋白质组件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配方粉或配方食品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盐酸度洛西汀肠溶胶囊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胶囊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20mg或30mg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pacing w:before="226" w:line="239" w:lineRule="exact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/>
          <w:color w:val="000000"/>
          <w:sz w:val="24"/>
          <w:szCs w:val="24"/>
          <w:lang w:eastAsia="zh-CN"/>
        </w:rPr>
        <w:t>备注：</w:t>
      </w:r>
    </w:p>
    <w:p>
      <w:pPr>
        <w:numPr>
          <w:ilvl w:val="0"/>
          <w:numId w:val="0"/>
        </w:numPr>
        <w:spacing w:before="226" w:line="239" w:lineRule="exact"/>
        <w:ind w:leftChars="-500"/>
        <w:jc w:val="left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1  本次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咨询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药品均需提供生产企业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经销人员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在本地区销售的授权委托书和生产企业委托配送企业的授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的授权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委托书。</w:t>
      </w:r>
    </w:p>
    <w:p>
      <w:pPr>
        <w:spacing w:before="226" w:line="239" w:lineRule="exact"/>
        <w:ind w:left="960" w:leftChars="218" w:hanging="480" w:hangingChars="200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2.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咨询品种应为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江苏省阳光采购平台中标药品（麻精、毒性等特殊药品除外），原则上在江苏省阳光采购平台有该药品配送权的公司方可参与。</w:t>
      </w:r>
    </w:p>
    <w:p>
      <w:pPr>
        <w:spacing w:before="226" w:line="239" w:lineRule="exact"/>
        <w:ind w:firstLine="480" w:firstLineChars="200"/>
        <w:jc w:val="both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3. 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咨询药品需符合咨询目录备注栏中要求。</w:t>
      </w:r>
    </w:p>
    <w:p>
      <w:pPr>
        <w:numPr>
          <w:ilvl w:val="0"/>
          <w:numId w:val="0"/>
        </w:numPr>
        <w:spacing w:before="226" w:line="239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4. 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价格预警品种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(黄色和红色预警）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禁止参与咨询。</w:t>
      </w:r>
    </w:p>
    <w:p>
      <w:pPr>
        <w:spacing w:before="226" w:line="239" w:lineRule="exact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5.  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配送企业要提供产品的保供协议，如不能保供需承担相应责任和后果。</w:t>
      </w:r>
    </w:p>
    <w:p>
      <w:pPr>
        <w:spacing w:before="226" w:line="239" w:lineRule="exact"/>
        <w:ind w:firstLine="720" w:firstLineChars="300"/>
        <w:rPr>
          <w:rFonts w:ascii="Times New Roman" w:hAnsi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</w:p>
    <w:p>
      <w:pPr>
        <w:spacing w:before="226" w:line="239" w:lineRule="exact"/>
        <w:ind w:firstLine="720" w:firstLineChars="300"/>
        <w:rPr>
          <w:rFonts w:ascii="Times New Roman" w:hAnsi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type w:val="continuous"/>
      <w:pgSz w:w="11915" w:h="16846"/>
      <w:pgMar w:top="851" w:right="567" w:bottom="851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iOTc2ZGE5NjNiZjc1NGZmMzAwNGIyYjViMzU4YmMifQ=="/>
  </w:docVars>
  <w:rsids>
    <w:rsidRoot w:val="00A66228"/>
    <w:rsid w:val="00082173"/>
    <w:rsid w:val="000C75F7"/>
    <w:rsid w:val="00152050"/>
    <w:rsid w:val="00196556"/>
    <w:rsid w:val="001D0FBA"/>
    <w:rsid w:val="001F12CC"/>
    <w:rsid w:val="00213569"/>
    <w:rsid w:val="00241FD2"/>
    <w:rsid w:val="00245544"/>
    <w:rsid w:val="00294DBE"/>
    <w:rsid w:val="002A244B"/>
    <w:rsid w:val="002B7151"/>
    <w:rsid w:val="00337047"/>
    <w:rsid w:val="00356AB5"/>
    <w:rsid w:val="00365B0C"/>
    <w:rsid w:val="0037120F"/>
    <w:rsid w:val="00387D93"/>
    <w:rsid w:val="003A4E5F"/>
    <w:rsid w:val="00403F91"/>
    <w:rsid w:val="004D4E1C"/>
    <w:rsid w:val="00542649"/>
    <w:rsid w:val="006D16E3"/>
    <w:rsid w:val="00752BB3"/>
    <w:rsid w:val="007E7459"/>
    <w:rsid w:val="00852610"/>
    <w:rsid w:val="00862E21"/>
    <w:rsid w:val="00876660"/>
    <w:rsid w:val="008F37AF"/>
    <w:rsid w:val="0096109D"/>
    <w:rsid w:val="00991F09"/>
    <w:rsid w:val="009D3FAE"/>
    <w:rsid w:val="009E373C"/>
    <w:rsid w:val="00A66228"/>
    <w:rsid w:val="00A74471"/>
    <w:rsid w:val="00AB3F52"/>
    <w:rsid w:val="00AC5B7A"/>
    <w:rsid w:val="00B3406F"/>
    <w:rsid w:val="00B70FC0"/>
    <w:rsid w:val="00B87881"/>
    <w:rsid w:val="00BB30E3"/>
    <w:rsid w:val="00C2353D"/>
    <w:rsid w:val="00C60747"/>
    <w:rsid w:val="00C669FD"/>
    <w:rsid w:val="00CA7095"/>
    <w:rsid w:val="00CB0413"/>
    <w:rsid w:val="00CD01A4"/>
    <w:rsid w:val="00CF44A0"/>
    <w:rsid w:val="00D23155"/>
    <w:rsid w:val="00D33D5D"/>
    <w:rsid w:val="00D4024F"/>
    <w:rsid w:val="00D50302"/>
    <w:rsid w:val="00D57F69"/>
    <w:rsid w:val="00E13546"/>
    <w:rsid w:val="00E25E6A"/>
    <w:rsid w:val="00E30961"/>
    <w:rsid w:val="00E31EDF"/>
    <w:rsid w:val="00EB6341"/>
    <w:rsid w:val="00ED1706"/>
    <w:rsid w:val="00EE0A33"/>
    <w:rsid w:val="00F2597B"/>
    <w:rsid w:val="00F70CCA"/>
    <w:rsid w:val="04185410"/>
    <w:rsid w:val="096F3F77"/>
    <w:rsid w:val="0DCF0DA4"/>
    <w:rsid w:val="14DB65DF"/>
    <w:rsid w:val="18D55226"/>
    <w:rsid w:val="1B804E43"/>
    <w:rsid w:val="21AD0E1B"/>
    <w:rsid w:val="25C7084C"/>
    <w:rsid w:val="30CE282F"/>
    <w:rsid w:val="341669C7"/>
    <w:rsid w:val="34FB7939"/>
    <w:rsid w:val="3E151A9D"/>
    <w:rsid w:val="40A4535A"/>
    <w:rsid w:val="457249B4"/>
    <w:rsid w:val="48185E64"/>
    <w:rsid w:val="49234EA6"/>
    <w:rsid w:val="4A4C330C"/>
    <w:rsid w:val="4BBF74EC"/>
    <w:rsid w:val="4CE0610E"/>
    <w:rsid w:val="50631C05"/>
    <w:rsid w:val="514648DC"/>
    <w:rsid w:val="56DF14D7"/>
    <w:rsid w:val="5DC343BF"/>
    <w:rsid w:val="5DEA002E"/>
    <w:rsid w:val="618B1EF3"/>
    <w:rsid w:val="61C40F61"/>
    <w:rsid w:val="61CE1E39"/>
    <w:rsid w:val="620B4DE2"/>
    <w:rsid w:val="68632D2D"/>
    <w:rsid w:val="6B8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787</Characters>
  <Lines>6</Lines>
  <Paragraphs>1</Paragraphs>
  <TotalTime>10</TotalTime>
  <ScaleCrop>false</ScaleCrop>
  <LinksUpToDate>false</LinksUpToDate>
  <CharactersWithSpaces>924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2024-01-31T06:07:00Z</dcterms:created>
  <dc:creator>YK</dc:creator>
  <cp:lastModifiedBy>花慧莲泰人医</cp:lastModifiedBy>
  <cp:lastPrinted>2024-05-17T00:57:00Z</cp:lastPrinted>
  <dcterms:modified xsi:type="dcterms:W3CDTF">2024-05-23T03:49:55Z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AE5064C786654591BDAF9544CBF6BE9D_12</vt:lpwstr>
  </property>
</Properties>
</file>